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72F" w:rsidRDefault="0025364A" w:rsidP="0025364A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Lucerne Valley</w:t>
      </w:r>
    </w:p>
    <w:p w:rsidR="0025364A" w:rsidRDefault="0025364A" w:rsidP="0025364A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2016 3</w:t>
      </w:r>
      <w:r w:rsidRPr="0025364A">
        <w:rPr>
          <w:rFonts w:ascii="Californian FB" w:hAnsi="Californian FB"/>
          <w:sz w:val="40"/>
          <w:szCs w:val="40"/>
          <w:vertAlign w:val="superscript"/>
        </w:rPr>
        <w:t>rd</w:t>
      </w:r>
      <w:r>
        <w:rPr>
          <w:rFonts w:ascii="Californian FB" w:hAnsi="Californian FB"/>
          <w:sz w:val="40"/>
          <w:szCs w:val="40"/>
        </w:rPr>
        <w:t xml:space="preserve"> Quarter Sales</w:t>
      </w:r>
    </w:p>
    <w:p w:rsidR="0025364A" w:rsidRDefault="0025364A" w:rsidP="0025364A">
      <w:pPr>
        <w:jc w:val="center"/>
        <w:rPr>
          <w:rFonts w:ascii="Californian FB" w:hAnsi="Californian FB"/>
          <w:sz w:val="40"/>
          <w:szCs w:val="40"/>
        </w:rPr>
      </w:pPr>
    </w:p>
    <w:p w:rsidR="0025364A" w:rsidRPr="0025364A" w:rsidRDefault="0025364A" w:rsidP="0025364A">
      <w:pPr>
        <w:jc w:val="center"/>
        <w:rPr>
          <w:rFonts w:ascii="Californian FB" w:hAnsi="Californian FB"/>
          <w:sz w:val="40"/>
          <w:szCs w:val="40"/>
        </w:rPr>
      </w:pPr>
      <w:bookmarkStart w:id="0" w:name="_GoBack"/>
      <w:r w:rsidRPr="0025364A">
        <w:rPr>
          <w:caps/>
          <w:noProof/>
        </w:rPr>
        <w:drawing>
          <wp:inline distT="0" distB="0" distL="0" distR="0" wp14:anchorId="1D96F88F" wp14:editId="6526CE80">
            <wp:extent cx="9115425" cy="556260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25364A" w:rsidRPr="0025364A" w:rsidSect="0025364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4A"/>
    <w:rsid w:val="0025364A"/>
    <w:rsid w:val="00A4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C2711-A170-44E9-8FC1-F610C034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36580656"/>
        <c:axId val="336576344"/>
        <c:axId val="0"/>
      </c:bar3DChart>
      <c:catAx>
        <c:axId val="3365806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6576344"/>
        <c:crosses val="autoZero"/>
        <c:auto val="1"/>
        <c:lblAlgn val="ctr"/>
        <c:lblOffset val="100"/>
        <c:noMultiLvlLbl val="0"/>
      </c:catAx>
      <c:valAx>
        <c:axId val="33657634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36580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0.16196</cdr:x>
      <cdr:y>0.47432</cdr:y>
    </cdr:from>
    <cdr:to>
      <cdr:x>0.5559</cdr:x>
      <cdr:y>0.51712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2638425"/>
          <a:ext cx="35909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2,249</a:t>
          </a:r>
          <a:r>
            <a:rPr lang="en-US" sz="1000" i="1"/>
            <a:t> - Average Year Built </a:t>
          </a:r>
          <a:r>
            <a:rPr lang="en-US" sz="1000" b="1" i="1"/>
            <a:t>1980</a:t>
          </a:r>
        </a:p>
      </cdr:txBody>
    </cdr:sp>
  </cdr:relSizeAnchor>
  <cdr:relSizeAnchor xmlns:cdr="http://schemas.openxmlformats.org/drawingml/2006/chartDrawing">
    <cdr:from>
      <cdr:x>0.16196</cdr:x>
      <cdr:y>0.5411</cdr:y>
    </cdr:from>
    <cdr:to>
      <cdr:x>0.5047</cdr:x>
      <cdr:y>0.59075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3009900"/>
          <a:ext cx="312420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1,975 </a:t>
          </a:r>
          <a:r>
            <a:rPr lang="en-US" sz="1000" i="1"/>
            <a:t>- Average Year Built </a:t>
          </a:r>
          <a:r>
            <a:rPr lang="en-US" sz="1000" b="1" i="1"/>
            <a:t>1981</a:t>
          </a:r>
        </a:p>
      </cdr:txBody>
    </cdr:sp>
  </cdr:relSizeAnchor>
  <cdr:relSizeAnchor xmlns:cdr="http://schemas.openxmlformats.org/drawingml/2006/chartDrawing">
    <cdr:from>
      <cdr:x>0.16196</cdr:x>
      <cdr:y>0.67295</cdr:y>
    </cdr:from>
    <cdr:to>
      <cdr:x>0.53292</cdr:x>
      <cdr:y>0.71404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3743325"/>
          <a:ext cx="33813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1,625</a:t>
          </a:r>
          <a:r>
            <a:rPr lang="en-US" sz="1000" i="1"/>
            <a:t> - Average Year Built </a:t>
          </a:r>
          <a:r>
            <a:rPr lang="en-US" sz="1000" b="1" i="1"/>
            <a:t>2006</a:t>
          </a:r>
        </a:p>
      </cdr:txBody>
    </cdr:sp>
  </cdr:relSizeAnchor>
  <cdr:relSizeAnchor xmlns:cdr="http://schemas.openxmlformats.org/drawingml/2006/chartDrawing">
    <cdr:from>
      <cdr:x>0.16196</cdr:x>
      <cdr:y>0.73801</cdr:y>
    </cdr:from>
    <cdr:to>
      <cdr:x>0.49112</cdr:x>
      <cdr:y>0.78082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4105275"/>
          <a:ext cx="30003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9</a:t>
          </a:r>
          <a:r>
            <a:rPr lang="en-US" sz="1000" b="1" i="1"/>
            <a:t>52</a:t>
          </a:r>
          <a:r>
            <a:rPr lang="en-US" sz="1000" i="1"/>
            <a:t> - Average Year Built </a:t>
          </a:r>
          <a:r>
            <a:rPr lang="en-US" sz="1000" b="1" i="1"/>
            <a:t>2000</a:t>
          </a:r>
        </a:p>
      </cdr:txBody>
    </cdr:sp>
  </cdr:relSizeAnchor>
  <cdr:relSizeAnchor xmlns:cdr="http://schemas.openxmlformats.org/drawingml/2006/chartDrawing">
    <cdr:from>
      <cdr:x>0.16196</cdr:x>
      <cdr:y>0.80651</cdr:y>
    </cdr:from>
    <cdr:to>
      <cdr:x>0.49948</cdr:x>
      <cdr:y>0.85103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4486275"/>
          <a:ext cx="30765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1,685</a:t>
          </a:r>
          <a:r>
            <a:rPr lang="en-US" sz="1000" i="1" baseline="0"/>
            <a:t> - Average Year Built </a:t>
          </a:r>
          <a:r>
            <a:rPr lang="en-US" sz="1000" b="1" i="1" baseline="0"/>
            <a:t>2006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0.16196</cdr:x>
      <cdr:y>0.86986</cdr:y>
    </cdr:from>
    <cdr:to>
      <cdr:x>0.47858</cdr:x>
      <cdr:y>0.91267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4838700"/>
          <a:ext cx="28860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1,505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1968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0.16301</cdr:x>
      <cdr:y>0.93493</cdr:y>
    </cdr:from>
    <cdr:to>
      <cdr:x>0.52874</cdr:x>
      <cdr:y>0.98801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85900" y="5200650"/>
          <a:ext cx="3333750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1,404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1997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2016-10-31T16:45:00Z</dcterms:created>
  <dcterms:modified xsi:type="dcterms:W3CDTF">2016-10-31T16:53:00Z</dcterms:modified>
</cp:coreProperties>
</file>